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57CA0EEE" w:rsidR="00892DEA" w:rsidRPr="00892DEA" w:rsidRDefault="00813793" w:rsidP="003A4C94">
            <w:pPr>
              <w:spacing w:after="0" w:line="240" w:lineRule="auto"/>
              <w:rPr>
                <w:rFonts w:ascii="Times New Roman" w:hAnsi="Times New Roman"/>
                <w:bCs/>
                <w:sz w:val="24"/>
                <w:szCs w:val="24"/>
              </w:rPr>
            </w:pPr>
            <w:r>
              <w:rPr>
                <w:rFonts w:ascii="Times New Roman" w:hAnsi="Times New Roman"/>
                <w:bCs/>
                <w:sz w:val="24"/>
                <w:szCs w:val="24"/>
              </w:rPr>
              <w:t>Minties 15</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6C5B3B1E" w14:textId="77777777" w:rsidR="00813793" w:rsidRPr="00813793" w:rsidRDefault="000D3CD9" w:rsidP="00232197">
            <w:pPr>
              <w:pStyle w:val="ListParagraph"/>
              <w:numPr>
                <w:ilvl w:val="1"/>
                <w:numId w:val="6"/>
              </w:numPr>
              <w:tabs>
                <w:tab w:val="left" w:pos="296"/>
                <w:tab w:val="left" w:pos="511"/>
                <w:tab w:val="left" w:pos="691"/>
              </w:tabs>
              <w:ind w:hanging="750"/>
              <w:jc w:val="both"/>
              <w:rPr>
                <w:bCs/>
              </w:rPr>
            </w:pPr>
            <w:r>
              <w:rPr>
                <w:bCs/>
              </w:rPr>
              <w:t>D</w:t>
            </w:r>
            <w:r w:rsidR="00171080" w:rsidRPr="00D05E02">
              <w:rPr>
                <w:bCs/>
              </w:rPr>
              <w:t>augiabučio gyvenamojo namo</w:t>
            </w:r>
            <w:r w:rsidR="00813793">
              <w:t xml:space="preserve">, keturių laiptinių įvadinių el. kabelių, el. skydo keitimo darbai </w:t>
            </w:r>
          </w:p>
          <w:p w14:paraId="216DFFC5" w14:textId="701B8F74"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D609C05"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331C58">
              <w:t>45</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379638BB"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813793">
              <w:rPr>
                <w:bCs/>
              </w:rPr>
              <w:t>5</w:t>
            </w:r>
            <w:r>
              <w:rPr>
                <w:bCs/>
              </w:rPr>
              <w:t>-</w:t>
            </w:r>
            <w:r w:rsidR="00813793">
              <w:rPr>
                <w:bCs/>
              </w:rPr>
              <w:t>02</w:t>
            </w:r>
            <w:r>
              <w:rPr>
                <w:bCs/>
              </w:rPr>
              <w:t>-</w:t>
            </w:r>
            <w:r w:rsidR="000C7C01">
              <w:rPr>
                <w:bCs/>
              </w:rPr>
              <w:t>17</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1F44FA71"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8534A2" w:rsidRPr="00F14BBA">
                <w:rPr>
                  <w:rStyle w:val="Hyperlink"/>
                </w:rPr>
                <w:t>pirkimai</w:t>
              </w:r>
              <w:r w:rsidR="008534A2" w:rsidRPr="00F14BBA">
                <w:rPr>
                  <w:rStyle w:val="Hyperlink"/>
                  <w:lang w:val="en-US"/>
                </w:rPr>
                <w:t>@admi.lt</w:t>
              </w:r>
            </w:hyperlink>
            <w:r w:rsidR="008534A2">
              <w:rPr>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613883C4"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DA79CF">
              <w:rPr>
                <w:bCs/>
              </w:rPr>
              <w:t>vadybininką</w:t>
            </w:r>
            <w:r w:rsidR="00B5456D">
              <w:rPr>
                <w:bCs/>
              </w:rPr>
              <w:t xml:space="preserve"> </w:t>
            </w:r>
            <w:r w:rsidR="00232197">
              <w:rPr>
                <w:bCs/>
              </w:rPr>
              <w:t>A</w:t>
            </w:r>
            <w:r w:rsidR="00DA79CF">
              <w:rPr>
                <w:bCs/>
              </w:rPr>
              <w:t xml:space="preserve">ntaną Alekną </w:t>
            </w:r>
            <w:r w:rsidR="00B5456D">
              <w:rPr>
                <w:bCs/>
              </w:rPr>
              <w:t xml:space="preserve"> tel.: </w:t>
            </w:r>
            <w:r w:rsidR="00DA79CF">
              <w:rPr>
                <w:bCs/>
              </w:rPr>
              <w:t>+370 647 05015</w:t>
            </w:r>
            <w:r w:rsidR="00B5456D">
              <w:rPr>
                <w:bCs/>
              </w:rPr>
              <w:t xml:space="preserve">, el. paštas </w:t>
            </w:r>
            <w:hyperlink r:id="rId6" w:history="1">
              <w:r w:rsidR="008534A2" w:rsidRPr="00F14BBA">
                <w:rPr>
                  <w:rStyle w:val="Hyperlink"/>
                  <w:bCs/>
                </w:rPr>
                <w:t>pirkimai@admi.lt</w:t>
              </w:r>
            </w:hyperlink>
            <w:r w:rsidR="008534A2">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C7C0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3011DB"/>
    <w:rsid w:val="00304837"/>
    <w:rsid w:val="00331C58"/>
    <w:rsid w:val="00345975"/>
    <w:rsid w:val="003A4C94"/>
    <w:rsid w:val="003B2BB8"/>
    <w:rsid w:val="003C7D46"/>
    <w:rsid w:val="00403F2F"/>
    <w:rsid w:val="00432B05"/>
    <w:rsid w:val="0044517F"/>
    <w:rsid w:val="00485E34"/>
    <w:rsid w:val="004E2DFC"/>
    <w:rsid w:val="00517859"/>
    <w:rsid w:val="00541E47"/>
    <w:rsid w:val="00605F1C"/>
    <w:rsid w:val="006A51CE"/>
    <w:rsid w:val="006B6653"/>
    <w:rsid w:val="00704F77"/>
    <w:rsid w:val="00714580"/>
    <w:rsid w:val="00761CE0"/>
    <w:rsid w:val="007B55B7"/>
    <w:rsid w:val="007E0954"/>
    <w:rsid w:val="00813793"/>
    <w:rsid w:val="008534A2"/>
    <w:rsid w:val="00892DEA"/>
    <w:rsid w:val="008D789D"/>
    <w:rsid w:val="008F438B"/>
    <w:rsid w:val="009668AC"/>
    <w:rsid w:val="00980BAE"/>
    <w:rsid w:val="009C3671"/>
    <w:rsid w:val="009E02F4"/>
    <w:rsid w:val="009E3F87"/>
    <w:rsid w:val="00A522A0"/>
    <w:rsid w:val="00A56FFB"/>
    <w:rsid w:val="00A67234"/>
    <w:rsid w:val="00AA722F"/>
    <w:rsid w:val="00B05788"/>
    <w:rsid w:val="00B22926"/>
    <w:rsid w:val="00B34493"/>
    <w:rsid w:val="00B5456D"/>
    <w:rsid w:val="00BD39B5"/>
    <w:rsid w:val="00C20528"/>
    <w:rsid w:val="00C64CCB"/>
    <w:rsid w:val="00C67631"/>
    <w:rsid w:val="00C75B60"/>
    <w:rsid w:val="00CA742F"/>
    <w:rsid w:val="00CF3B4C"/>
    <w:rsid w:val="00D05E02"/>
    <w:rsid w:val="00D80CFB"/>
    <w:rsid w:val="00D8358B"/>
    <w:rsid w:val="00DA5300"/>
    <w:rsid w:val="00DA79CF"/>
    <w:rsid w:val="00E253C7"/>
    <w:rsid w:val="00E435F3"/>
    <w:rsid w:val="00E46E2F"/>
    <w:rsid w:val="00E64474"/>
    <w:rsid w:val="00EE2DA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admi.lt" TargetMode="External"/><Relationship Id="rId5" Type="http://schemas.openxmlformats.org/officeDocument/2006/relationships/hyperlink" Target="mailto:pirkimai@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1760</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4</cp:revision>
  <dcterms:created xsi:type="dcterms:W3CDTF">2025-01-15T14:14:00Z</dcterms:created>
  <dcterms:modified xsi:type="dcterms:W3CDTF">2025-02-06T11:26:00Z</dcterms:modified>
</cp:coreProperties>
</file>